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/>
      </w:tblPr>
      <w:tblGrid>
        <w:gridCol w:w="320"/>
        <w:gridCol w:w="1178"/>
        <w:gridCol w:w="1140"/>
        <w:gridCol w:w="835"/>
        <w:gridCol w:w="819"/>
        <w:gridCol w:w="811"/>
        <w:gridCol w:w="743"/>
        <w:gridCol w:w="216"/>
        <w:gridCol w:w="504"/>
        <w:gridCol w:w="216"/>
        <w:gridCol w:w="1124"/>
        <w:gridCol w:w="807"/>
        <w:gridCol w:w="522"/>
        <w:gridCol w:w="812"/>
        <w:gridCol w:w="733"/>
        <w:gridCol w:w="723"/>
        <w:gridCol w:w="703"/>
        <w:gridCol w:w="691"/>
        <w:gridCol w:w="721"/>
        <w:gridCol w:w="691"/>
        <w:gridCol w:w="637"/>
        <w:gridCol w:w="701"/>
      </w:tblGrid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приказом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начальника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физической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спорту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10.01.2020 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</w:p>
        </w:tc>
      </w:tr>
      <w:tr w:rsidR="00000000" w:rsidRPr="00DB0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r w:rsidRPr="00DB0D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2020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год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плановый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период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2021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2022 </w:t>
            </w:r>
            <w:r w:rsidRPr="00DB0D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годов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муниципальное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бюджетное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учреждение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"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Спортивная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школа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№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1"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реализация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программ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подготовки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несовершеннолетних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граж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дан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начальной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подготовки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тренировочном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),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совершенствования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масте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ства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олимпийским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: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легкая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атлетика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баскетбол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волейбол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организация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оведение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-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оздоровительной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развитию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физической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культуры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среди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несовершеннолетних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граждан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организация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проведения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официальных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физкультурных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фи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з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культурно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-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оздоровительных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мероприятий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93.19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оказываемых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Спортивная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подготовка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олимпийским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спорта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региональному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Категории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готовка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совершенствования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мастерства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56006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57006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совершенствования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мастерства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06006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Легкая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атлетика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овки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07006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Легкая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атлетика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тренировочном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зачисле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совершенствования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мастерства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риф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порта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56006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57006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06006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Легкая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атлетика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подготовки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931900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.99.0.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07006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Легкая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атлетика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Тренир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вочный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число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прошедших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спортивную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подготовку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этапах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готовки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4.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Правовые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устанавливающие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цену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тариф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либо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установления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Правовой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принявший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5.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5.1.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Правовые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регулирующие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"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24.02.2016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 "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утверждении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Стандар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подготовке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олимпийским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стандарта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спортивной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подготовке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неолимпийским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видам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спорта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5.2.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информирования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тенциальных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Способ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Состав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размещаемой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Частота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обновления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официальном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информационном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тернет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портале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Арха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местонахождение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деятельности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оказываемой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стандарт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оказания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соответствии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Законом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Российской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Федерации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07.02.1992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№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2300-1 "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защите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прав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менее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одного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информационных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стендах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деятельности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мере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Официальном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сайте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Российской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Федерации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государственных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соответствии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требованиями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Федерального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закона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12.01.1996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№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7-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ФЗ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некоммерче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ских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организациях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позднее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пяти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дней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следующих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днем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принятия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докуме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тов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внесения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изменений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средствах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массовой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деятельности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мере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Размещение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официальном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сайте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местонахождение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;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режимах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справочных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телефонах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ФИО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специалистов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оказываемой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подачи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жалоб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выполняемых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Раздел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07.009.1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Организация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проведение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-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оздоровительной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развитию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физич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культуры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спорта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региональному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Категории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риф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описа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боты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ОКЕИ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07009100000000000004101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Количество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323.00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323.00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323.00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4.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Правовые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устанавливающие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цену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тариф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либо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установления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Правовой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принявший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Раздел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07.023.1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Организация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проведение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официальных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спортивных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мероприятий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региональному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Категории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потребителей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интересах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  <w:u w:val="single"/>
              </w:rPr>
              <w:t>общества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3.1.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качество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lastRenderedPageBreak/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провед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циальных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ропри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3.2.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характеризующие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объем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Уникальный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характеризующий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содержание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хара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теризующий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условия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формы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Показатель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Значение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риф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Допустимые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возможные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отклонения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установленных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объема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провед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оф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циальных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спорти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ных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ропри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тий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единица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описа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ние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боты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2020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2021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2022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цен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абсо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лютных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величи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нах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ОКЕИ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4.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Правовые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устанавливающие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размер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платы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цену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тариф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либо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установления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Правовой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принявший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3.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Прочие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муниципальном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задании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1.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Основания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для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досрочного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прекращения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11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заключение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здравоохранения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медицинском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состоянии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ребенка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не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позволяющем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посеща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lastRenderedPageBreak/>
              <w:t>ть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учреждение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заявления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родителей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законных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представителей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исключение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из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общероссийских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базовых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отраслевых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перечней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классификаторов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госуда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ственных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услуг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оказываемых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физическ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лицам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регионального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перечня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классификатора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государственных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муниципальных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услуг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работ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перераспределение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полном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чий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повлекших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исключение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из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компетенции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полномочий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выполнению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работы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перераспределение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полномочий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повле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кших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исключение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из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компетенции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полномочий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оказанию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услуги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реорганизация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или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ликвидация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учреждения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осуществляющего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выполнение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задания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2.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информация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необходимая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(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контроля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исполнением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)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5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3.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Порядок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исполнением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Форма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контроля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Периодичность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Органы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осуществляющие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контроль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исполнением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Предварительный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мере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необходимости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Управление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физической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культуре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спорту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Администрации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"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Текущий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Ежеквартально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Управление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физической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культуре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спорту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Администрации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"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Последующий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мере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необходимости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Управление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физической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культуре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спорту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Администрации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образования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"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Город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Архангельск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"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4.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Требования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отчетности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выполнении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4.1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Периодичность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представления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отчетов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выполнении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8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Ежеквартально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ежегодно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мере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необходимости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4.2.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Сроки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представления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отчетов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выполнении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Отчет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I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квартал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03.04.2020,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полугодие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03.07.2020,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9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месяцев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02.10.2020, 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год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12.01.2021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4.2.1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Сроки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представления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предварительного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отчета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выполнении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Предварительный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отчет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год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до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25.11.2020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4.3.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Иные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требования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к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отчетности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об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исполнении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Представление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пояснительной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записки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в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случае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невыполнения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задания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br/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5.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Иные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показатели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,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связанные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с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исполнением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муниципального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 xml:space="preserve"> </w:t>
            </w: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DB0DCA">
              <w:rPr>
                <w:rFonts w:ascii="Times New Roman" w:eastAsiaTheme="minorEastAsia" w:hAnsi="Times New Roman"/>
                <w:color w:val="000000"/>
                <w:sz w:val="19"/>
                <w:szCs w:val="19"/>
                <w:u w:val="single"/>
              </w:rPr>
              <w:t>-</w:t>
            </w:r>
          </w:p>
        </w:tc>
      </w:tr>
      <w:tr w:rsidR="00D661C9" w:rsidRPr="00DB0DCA" w:rsidTr="00D661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DB0DCA" w:rsidRDefault="00D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</w:tbl>
    <w:p w:rsidR="00DB0DCA" w:rsidRDefault="00DB0DCA"/>
    <w:sectPr w:rsidR="00DB0DC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C9"/>
    <w:rsid w:val="00954759"/>
    <w:rsid w:val="00D661C9"/>
    <w:rsid w:val="00D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grigorieva 30.12.2019 15:00:54</dc:subject>
  <dc:creator>Keysystems.DWH.ReportDesigner</dc:creator>
  <cp:lastModifiedBy>Я</cp:lastModifiedBy>
  <cp:revision>2</cp:revision>
  <dcterms:created xsi:type="dcterms:W3CDTF">2020-01-20T16:45:00Z</dcterms:created>
  <dcterms:modified xsi:type="dcterms:W3CDTF">2020-01-20T16:45:00Z</dcterms:modified>
</cp:coreProperties>
</file>